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366091"/>
          <w:sz w:val="40"/>
          <w:szCs w:val="40"/>
        </w:rPr>
      </w:pPr>
      <w:r w:rsidDel="00000000" w:rsidR="00000000" w:rsidRPr="00000000">
        <w:rPr>
          <w:rFonts w:ascii="Cambria" w:cs="Cambria" w:eastAsia="Cambria" w:hAnsi="Cambria"/>
          <w:i w:val="1"/>
          <w:color w:val="366091"/>
          <w:sz w:val="40"/>
          <w:szCs w:val="40"/>
          <w:rtl w:val="0"/>
        </w:rPr>
        <w:t xml:space="preserve">Test Report – CT_PR-Head-IMG_GSPS</w:t>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Revision</w:t>
      </w:r>
    </w:p>
    <w:tbl>
      <w:tblPr>
        <w:tblStyle w:val="Table1"/>
        <w:tblW w:w="1360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20"/>
      </w:tblPr>
      <w:tblGrid>
        <w:gridCol w:w="1980"/>
        <w:gridCol w:w="1559"/>
        <w:gridCol w:w="1418"/>
        <w:gridCol w:w="8646"/>
        <w:tblGridChange w:id="0">
          <w:tblGrid>
            <w:gridCol w:w="1980"/>
            <w:gridCol w:w="1559"/>
            <w:gridCol w:w="1418"/>
            <w:gridCol w:w="8646"/>
          </w:tblGrid>
        </w:tblGridChange>
      </w:tblGrid>
      <w:tr>
        <w:trPr>
          <w:cantSplit w:val="0"/>
          <w:trHeight w:val="20" w:hRule="atLeast"/>
          <w:tblHeader w:val="0"/>
        </w:trPr>
        <w:tc>
          <w:tcPr>
            <w:tcBorders>
              <w:left w:color="000000" w:space="0" w:sz="8" w:val="single"/>
              <w:right w:color="000000" w:space="0" w:sz="8" w:val="single"/>
            </w:tcBorders>
            <w:shd w:fill="d9d9d9" w:val="clear"/>
          </w:tcPr>
          <w:p w:rsidR="00000000" w:rsidDel="00000000" w:rsidP="00000000" w:rsidRDefault="00000000" w:rsidRPr="00000000" w14:paraId="00000003">
            <w:pPr>
              <w:pStyle w:val="Heading1"/>
              <w:spacing w:before="0" w:lineRule="auto"/>
              <w:rPr>
                <w:sz w:val="22"/>
                <w:szCs w:val="22"/>
              </w:rPr>
            </w:pPr>
            <w:r w:rsidDel="00000000" w:rsidR="00000000" w:rsidRPr="00000000">
              <w:rPr>
                <w:sz w:val="22"/>
                <w:szCs w:val="22"/>
                <w:rtl w:val="0"/>
              </w:rPr>
              <w:t xml:space="preserve">Date</w:t>
            </w:r>
          </w:p>
        </w:tc>
        <w:tc>
          <w:tcPr>
            <w:shd w:fill="d9d9d9" w:val="clear"/>
          </w:tcPr>
          <w:p w:rsidR="00000000" w:rsidDel="00000000" w:rsidP="00000000" w:rsidRDefault="00000000" w:rsidRPr="00000000" w14:paraId="00000004">
            <w:pPr>
              <w:pStyle w:val="Heading1"/>
              <w:spacing w:before="0" w:lineRule="auto"/>
              <w:rPr>
                <w:sz w:val="22"/>
                <w:szCs w:val="22"/>
              </w:rPr>
            </w:pPr>
            <w:r w:rsidDel="00000000" w:rsidR="00000000" w:rsidRPr="00000000">
              <w:rPr>
                <w:sz w:val="22"/>
                <w:szCs w:val="22"/>
                <w:rtl w:val="0"/>
              </w:rPr>
              <w:t xml:space="preserve">Author</w:t>
            </w:r>
          </w:p>
        </w:tc>
        <w:tc>
          <w:tcPr>
            <w:tcBorders>
              <w:left w:color="000000" w:space="0" w:sz="8" w:val="single"/>
              <w:right w:color="000000" w:space="0" w:sz="8" w:val="single"/>
            </w:tcBorders>
            <w:shd w:fill="d9d9d9" w:val="clear"/>
          </w:tcPr>
          <w:p w:rsidR="00000000" w:rsidDel="00000000" w:rsidP="00000000" w:rsidRDefault="00000000" w:rsidRPr="00000000" w14:paraId="00000005">
            <w:pPr>
              <w:pStyle w:val="Heading1"/>
              <w:spacing w:before="0" w:lineRule="auto"/>
              <w:rPr>
                <w:b w:val="0"/>
                <w:sz w:val="22"/>
                <w:szCs w:val="22"/>
              </w:rPr>
            </w:pPr>
            <w:r w:rsidDel="00000000" w:rsidR="00000000" w:rsidRPr="00000000">
              <w:rPr>
                <w:sz w:val="22"/>
                <w:szCs w:val="22"/>
                <w:rtl w:val="0"/>
              </w:rPr>
              <w:t xml:space="preserve">Test Suite / Test Report</w:t>
            </w:r>
            <w:r w:rsidDel="00000000" w:rsidR="00000000" w:rsidRPr="00000000">
              <w:rPr>
                <w:rtl w:val="0"/>
              </w:rPr>
            </w:r>
          </w:p>
        </w:tc>
        <w:tc>
          <w:tcPr>
            <w:shd w:fill="d9d9d9" w:val="clear"/>
          </w:tcPr>
          <w:p w:rsidR="00000000" w:rsidDel="00000000" w:rsidP="00000000" w:rsidRDefault="00000000" w:rsidRPr="00000000" w14:paraId="00000006">
            <w:pPr>
              <w:pStyle w:val="Heading1"/>
              <w:spacing w:before="0" w:lineRule="auto"/>
              <w:rPr>
                <w:sz w:val="22"/>
                <w:szCs w:val="22"/>
              </w:rPr>
            </w:pPr>
            <w:r w:rsidDel="00000000" w:rsidR="00000000" w:rsidRPr="00000000">
              <w:rPr>
                <w:sz w:val="22"/>
                <w:szCs w:val="22"/>
                <w:rtl w:val="0"/>
              </w:rPr>
              <w:t xml:space="preserve">Description / Test Instance link</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rPr>
                <w:sz w:val="20"/>
                <w:szCs w:val="20"/>
              </w:rPr>
            </w:pPr>
            <w:r w:rsidDel="00000000" w:rsidR="00000000" w:rsidRPr="00000000">
              <w:rPr>
                <w:sz w:val="20"/>
                <w:szCs w:val="20"/>
                <w:rtl w:val="0"/>
              </w:rPr>
              <w:t xml:space="preserve">September 10</w:t>
            </w:r>
            <w:r w:rsidDel="00000000" w:rsidR="00000000" w:rsidRPr="00000000">
              <w:rPr>
                <w:sz w:val="20"/>
                <w:szCs w:val="20"/>
                <w:vertAlign w:val="superscript"/>
                <w:rtl w:val="0"/>
              </w:rPr>
              <w:t xml:space="preserve">th</w:t>
            </w:r>
            <w:r w:rsidDel="00000000" w:rsidR="00000000" w:rsidRPr="00000000">
              <w:rPr>
                <w:sz w:val="20"/>
                <w:szCs w:val="20"/>
                <w:rtl w:val="0"/>
              </w:rPr>
              <w:t xml:space="preserve"> 2021</w:t>
            </w:r>
          </w:p>
        </w:tc>
        <w:tc>
          <w:tcPr>
            <w:tcBorders>
              <w:top w:color="000000" w:space="0" w:sz="8" w:val="single"/>
              <w:bottom w:color="000000" w:space="0" w:sz="8" w:val="single"/>
            </w:tcBorders>
          </w:tcPr>
          <w:p w:rsidR="00000000" w:rsidDel="00000000" w:rsidP="00000000" w:rsidRDefault="00000000" w:rsidRPr="00000000" w14:paraId="00000008">
            <w:pPr>
              <w:rPr>
                <w:sz w:val="20"/>
                <w:szCs w:val="20"/>
              </w:rPr>
            </w:pPr>
            <w:r w:rsidDel="00000000" w:rsidR="00000000" w:rsidRPr="00000000">
              <w:rPr>
                <w:sz w:val="20"/>
                <w:szCs w:val="20"/>
                <w:rtl w:val="0"/>
              </w:rPr>
              <w:t xml:space="preserve">Gigi Lamoroso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rPr>
                <w:sz w:val="20"/>
                <w:szCs w:val="20"/>
              </w:rPr>
            </w:pPr>
            <w:r w:rsidDel="00000000" w:rsidR="00000000" w:rsidRPr="00000000">
              <w:rPr>
                <w:sz w:val="20"/>
                <w:szCs w:val="20"/>
                <w:rtl w:val="0"/>
              </w:rPr>
              <w:t xml:space="preserve">Test Suite</w:t>
            </w:r>
          </w:p>
        </w:tc>
        <w:tc>
          <w:tcPr>
            <w:tcBorders>
              <w:top w:color="000000" w:space="0" w:sz="8" w:val="single"/>
              <w:bottom w:color="000000" w:space="0" w:sz="8" w:val="single"/>
            </w:tcBorders>
          </w:tcPr>
          <w:p w:rsidR="00000000" w:rsidDel="00000000" w:rsidP="00000000" w:rsidRDefault="00000000" w:rsidRPr="00000000" w14:paraId="0000000A">
            <w:pPr>
              <w:rPr>
                <w:sz w:val="20"/>
                <w:szCs w:val="20"/>
              </w:rPr>
            </w:pPr>
            <w:r w:rsidDel="00000000" w:rsidR="00000000" w:rsidRPr="00000000">
              <w:rPr>
                <w:sz w:val="20"/>
                <w:szCs w:val="20"/>
                <w:rtl w:val="0"/>
              </w:rPr>
              <w:t xml:space="preserve">Initial version of the test suite</w:t>
            </w:r>
          </w:p>
        </w:tc>
      </w:tr>
      <w:tr>
        <w:trPr>
          <w:cantSplit w:val="0"/>
          <w:trHeight w:val="20" w:hRule="atLeast"/>
          <w:tblHeader w:val="0"/>
        </w:trPr>
        <w:tc>
          <w:tcPr>
            <w:tcBorders>
              <w:left w:color="000000" w:space="0" w:sz="8" w:val="single"/>
              <w:right w:color="000000" w:space="0" w:sz="8" w:val="single"/>
            </w:tcBorders>
          </w:tcPr>
          <w:p w:rsidR="00000000" w:rsidDel="00000000" w:rsidP="00000000" w:rsidRDefault="00000000" w:rsidRPr="00000000" w14:paraId="0000000B">
            <w:pPr>
              <w:rPr/>
            </w:pPr>
            <w:r w:rsidDel="00000000" w:rsidR="00000000" w:rsidRPr="00000000">
              <w:rPr>
                <w:sz w:val="20"/>
                <w:szCs w:val="20"/>
                <w:rtl w:val="0"/>
              </w:rPr>
              <w:t xml:space="preserve">October 5</w:t>
            </w:r>
            <w:r w:rsidDel="00000000" w:rsidR="00000000" w:rsidRPr="00000000">
              <w:rPr>
                <w:sz w:val="20"/>
                <w:szCs w:val="20"/>
                <w:vertAlign w:val="superscript"/>
                <w:rtl w:val="0"/>
              </w:rPr>
              <w:t xml:space="preserve">th</w:t>
            </w:r>
            <w:r w:rsidDel="00000000" w:rsidR="00000000" w:rsidRPr="00000000">
              <w:rPr>
                <w:sz w:val="20"/>
                <w:szCs w:val="20"/>
                <w:rtl w:val="0"/>
              </w:rPr>
              <w:t xml:space="preserve"> 2021</w:t>
            </w:r>
            <w:r w:rsidDel="00000000" w:rsidR="00000000" w:rsidRPr="00000000">
              <w:rPr>
                <w:rtl w:val="0"/>
              </w:rPr>
            </w:r>
          </w:p>
        </w:tc>
        <w:tc>
          <w:tcPr/>
          <w:p w:rsidR="00000000" w:rsidDel="00000000" w:rsidP="00000000" w:rsidRDefault="00000000" w:rsidRPr="00000000" w14:paraId="0000000C">
            <w:pPr>
              <w:rPr/>
            </w:pPr>
            <w:r w:rsidDel="00000000" w:rsidR="00000000" w:rsidRPr="00000000">
              <w:rPr>
                <w:sz w:val="20"/>
                <w:szCs w:val="20"/>
                <w:rtl w:val="0"/>
              </w:rPr>
              <w:t xml:space="preserve">Paule Hochon</w:t>
            </w: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0D">
            <w:pPr>
              <w:rPr/>
            </w:pPr>
            <w:r w:rsidDel="00000000" w:rsidR="00000000" w:rsidRPr="00000000">
              <w:rPr>
                <w:sz w:val="20"/>
                <w:szCs w:val="20"/>
                <w:rtl w:val="0"/>
              </w:rPr>
              <w:t xml:space="preserve">Test Report</w:t>
            </w:r>
            <w:r w:rsidDel="00000000" w:rsidR="00000000" w:rsidRPr="00000000">
              <w:rPr>
                <w:rtl w:val="0"/>
              </w:rPr>
            </w:r>
          </w:p>
        </w:tc>
        <w:tc>
          <w:tcPr/>
          <w:p w:rsidR="00000000" w:rsidDel="00000000" w:rsidP="00000000" w:rsidRDefault="00000000" w:rsidRPr="00000000" w14:paraId="0000000E">
            <w:pPr>
              <w:rPr>
                <w:sz w:val="20"/>
                <w:szCs w:val="20"/>
              </w:rPr>
            </w:pPr>
            <w:r w:rsidDel="00000000" w:rsidR="00000000" w:rsidRPr="00000000">
              <w:rPr>
                <w:sz w:val="20"/>
                <w:szCs w:val="20"/>
                <w:rtl w:val="0"/>
              </w:rPr>
              <w:t xml:space="preserve">Initial version of the test report.</w:t>
            </w:r>
          </w:p>
          <w:p w:rsidR="00000000" w:rsidDel="00000000" w:rsidP="00000000" w:rsidRDefault="00000000" w:rsidRPr="00000000" w14:paraId="0000000F">
            <w:pPr>
              <w:rPr>
                <w:sz w:val="20"/>
                <w:szCs w:val="20"/>
              </w:rPr>
            </w:pPr>
            <w:r w:rsidDel="00000000" w:rsidR="00000000" w:rsidRPr="00000000">
              <w:rPr>
                <w:sz w:val="20"/>
                <w:szCs w:val="20"/>
                <w:rtl w:val="0"/>
              </w:rPr>
              <w:t xml:space="preserve">Permanent link of the test instance in Gazelle </w:t>
            </w:r>
          </w:p>
          <w:p w:rsidR="00000000" w:rsidDel="00000000" w:rsidP="00000000" w:rsidRDefault="00000000" w:rsidRPr="00000000" w14:paraId="00000010">
            <w:pPr>
              <w:rPr>
                <w:sz w:val="20"/>
                <w:szCs w:val="20"/>
              </w:rPr>
            </w:pPr>
            <w:hyperlink r:id="rId7">
              <w:r w:rsidDel="00000000" w:rsidR="00000000" w:rsidRPr="00000000">
                <w:rPr>
                  <w:color w:val="0000ff"/>
                  <w:sz w:val="20"/>
                  <w:szCs w:val="20"/>
                  <w:u w:val="single"/>
                  <w:rtl w:val="0"/>
                </w:rPr>
                <w:t xml:space="preserve">https://sharazone.ihe-europe.net/gazelle/testing/test/test/TestInstance.seam?id=8&amp;cid=33267</w:t>
              </w:r>
            </w:hyperlink>
            <w:r w:rsidDel="00000000" w:rsidR="00000000" w:rsidRPr="00000000">
              <w:rPr>
                <w:rtl w:val="0"/>
              </w:rPr>
            </w:r>
          </w:p>
        </w:tc>
      </w:tr>
    </w:tbl>
    <w:p w:rsidR="00000000" w:rsidDel="00000000" w:rsidP="00000000" w:rsidRDefault="00000000" w:rsidRPr="00000000" w14:paraId="00000011">
      <w:pPr>
        <w:pStyle w:val="Heading1"/>
        <w:rPr/>
      </w:pPr>
      <w:r w:rsidDel="00000000" w:rsidR="00000000" w:rsidRPr="00000000">
        <w:rPr>
          <w:rtl w:val="0"/>
        </w:rPr>
        <w:t xml:space="preserve">Purpose</w:t>
      </w:r>
    </w:p>
    <w:p w:rsidR="00000000" w:rsidDel="00000000" w:rsidP="00000000" w:rsidRDefault="00000000" w:rsidRPr="00000000" w14:paraId="00000012">
      <w:pPr>
        <w:rPr>
          <w:i w:val="1"/>
        </w:rPr>
      </w:pPr>
      <w:r w:rsidDel="00000000" w:rsidR="00000000" w:rsidRPr="00000000">
        <w:rPr>
          <w:color w:val="000000"/>
          <w:rtl w:val="0"/>
        </w:rPr>
        <w:t xml:space="preserve">This is to evaluate a new GSPS implementation, especially the various markups display and window level / VOI LUT sequence.</w:t>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Products identification</w:t>
      </w:r>
    </w:p>
    <w:p w:rsidR="00000000" w:rsidDel="00000000" w:rsidP="00000000" w:rsidRDefault="00000000" w:rsidRPr="00000000" w14:paraId="00000014">
      <w:pPr>
        <w:pStyle w:val="Heading2"/>
        <w:rPr/>
      </w:pPr>
      <w:r w:rsidDel="00000000" w:rsidR="00000000" w:rsidRPr="00000000">
        <w:rPr>
          <w:rtl w:val="0"/>
        </w:rPr>
        <w:t xml:space="preserve">Creator product</w:t>
      </w:r>
    </w:p>
    <w:p w:rsidR="00000000" w:rsidDel="00000000" w:rsidP="00000000" w:rsidRDefault="00000000" w:rsidRPr="00000000" w14:paraId="00000015">
      <w:pPr>
        <w:rPr/>
      </w:pPr>
      <w:r w:rsidDel="00000000" w:rsidR="00000000" w:rsidRPr="00000000">
        <w:rPr>
          <w:rtl w:val="0"/>
        </w:rPr>
        <w:t xml:space="preserve">MYBRAND Healthcare - CT Ambition - version 3.0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heading=h.2pe868h2mupe" w:id="0"/>
      <w:bookmarkEnd w:id="0"/>
      <w:r w:rsidDel="00000000" w:rsidR="00000000" w:rsidRPr="00000000">
        <w:rPr>
          <w:rtl w:val="0"/>
        </w:rPr>
        <w:t xml:space="preserve">Consumer product</w:t>
      </w:r>
    </w:p>
    <w:p w:rsidR="00000000" w:rsidDel="00000000" w:rsidP="00000000" w:rsidRDefault="00000000" w:rsidRPr="00000000" w14:paraId="00000018">
      <w:pPr>
        <w:rPr/>
      </w:pPr>
      <w:r w:rsidDel="00000000" w:rsidR="00000000" w:rsidRPr="00000000">
        <w:rPr>
          <w:rtl w:val="0"/>
        </w:rPr>
        <w:t xml:space="preserve">OURBRAND Imaging – PACS Romana – version 2.1</w:t>
      </w:r>
    </w:p>
    <w:p w:rsidR="00000000" w:rsidDel="00000000" w:rsidP="00000000" w:rsidRDefault="00000000" w:rsidRPr="00000000" w14:paraId="00000019">
      <w:pPr>
        <w:pStyle w:val="Heading1"/>
        <w:rPr/>
      </w:pPr>
      <w:r w:rsidDel="00000000" w:rsidR="00000000" w:rsidRPr="00000000">
        <w:rPr>
          <w:rtl w:val="0"/>
        </w:rPr>
        <w:t xml:space="preserve">Test Input: CT_PR-Head-IMG_GSPS</w:t>
      </w:r>
    </w:p>
    <w:p w:rsidR="00000000" w:rsidDel="00000000" w:rsidP="00000000" w:rsidRDefault="00000000" w:rsidRPr="00000000" w14:paraId="0000001A">
      <w:pPr>
        <w:rPr/>
      </w:pPr>
      <w:r w:rsidDel="00000000" w:rsidR="00000000" w:rsidRPr="00000000">
        <w:rPr>
          <w:rtl w:val="0"/>
        </w:rPr>
        <w:t xml:space="preserve">Permanent link to the test input in Gazelle: </w:t>
      </w:r>
      <w:hyperlink r:id="rId8">
        <w:r w:rsidDel="00000000" w:rsidR="00000000" w:rsidRPr="00000000">
          <w:rPr>
            <w:rFonts w:ascii="Helvetica Neue" w:cs="Helvetica Neue" w:eastAsia="Helvetica Neue" w:hAnsi="Helvetica Neue"/>
            <w:color w:val="337ab7"/>
            <w:sz w:val="20"/>
            <w:szCs w:val="20"/>
            <w:highlight w:val="white"/>
            <w:u w:val="single"/>
            <w:rtl w:val="0"/>
          </w:rPr>
          <w:t xml:space="preserve">https://sharazone.ihe-europe.net/gazelle/objects/sample.seam?id=7</w:t>
        </w:r>
      </w:hyperlink>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color w:val="333333"/>
          <w:highlight w:val="white"/>
          <w:rtl w:val="0"/>
        </w:rPr>
        <w:t xml:space="preserve">It contains one Series of CT head images and one GSPS series. several markups were saved in the presentation state as well as modified W/L. The PR contains also a VOI LUT sequence.</w:t>
      </w: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pStyle w:val="Heading2"/>
        <w:rPr/>
      </w:pPr>
      <w:bookmarkStart w:colFirst="0" w:colLast="0" w:name="_heading=h.gjdgxs" w:id="1"/>
      <w:bookmarkEnd w:id="1"/>
      <w:r w:rsidDel="00000000" w:rsidR="00000000" w:rsidRPr="00000000">
        <w:rPr>
          <w:rtl w:val="0"/>
        </w:rPr>
        <w:t xml:space="preserve">Shared test input structure:</w:t>
      </w:r>
    </w:p>
    <w:tbl>
      <w:tblPr>
        <w:tblStyle w:val="Table2"/>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20"/>
      </w:tblPr>
      <w:tblGrid>
        <w:gridCol w:w="1271"/>
        <w:gridCol w:w="1843"/>
        <w:gridCol w:w="1984"/>
        <w:gridCol w:w="2410"/>
        <w:gridCol w:w="2977"/>
        <w:gridCol w:w="3402"/>
        <w:tblGridChange w:id="0">
          <w:tblGrid>
            <w:gridCol w:w="1271"/>
            <w:gridCol w:w="1843"/>
            <w:gridCol w:w="1984"/>
            <w:gridCol w:w="2410"/>
            <w:gridCol w:w="2977"/>
            <w:gridCol w:w="3402"/>
          </w:tblGrid>
        </w:tblGridChange>
      </w:tblGrid>
      <w:tr>
        <w:trPr>
          <w:cantSplit w:val="0"/>
          <w:trHeight w:val="20" w:hRule="atLeast"/>
          <w:tblHeader w:val="0"/>
        </w:trPr>
        <w:tc>
          <w:tcPr>
            <w:shd w:fill="d9d9d9" w:val="clear"/>
          </w:tcPr>
          <w:p w:rsidR="00000000" w:rsidDel="00000000" w:rsidP="00000000" w:rsidRDefault="00000000" w:rsidRPr="00000000" w14:paraId="0000001E">
            <w:pPr>
              <w:pStyle w:val="Heading1"/>
              <w:spacing w:before="0" w:lineRule="auto"/>
              <w:rPr>
                <w:sz w:val="22"/>
                <w:szCs w:val="22"/>
              </w:rPr>
            </w:pPr>
            <w:r w:rsidDel="00000000" w:rsidR="00000000" w:rsidRPr="00000000">
              <w:rPr>
                <w:sz w:val="22"/>
                <w:szCs w:val="22"/>
                <w:rtl w:val="0"/>
              </w:rPr>
              <w:t xml:space="preserve">Patient ID</w:t>
            </w:r>
          </w:p>
        </w:tc>
        <w:tc>
          <w:tcPr>
            <w:shd w:fill="d9d9d9" w:val="clear"/>
          </w:tcPr>
          <w:p w:rsidR="00000000" w:rsidDel="00000000" w:rsidP="00000000" w:rsidRDefault="00000000" w:rsidRPr="00000000" w14:paraId="0000001F">
            <w:pPr>
              <w:pStyle w:val="Heading1"/>
              <w:spacing w:before="0" w:lineRule="auto"/>
              <w:rPr>
                <w:sz w:val="22"/>
                <w:szCs w:val="22"/>
              </w:rPr>
            </w:pPr>
            <w:r w:rsidDel="00000000" w:rsidR="00000000" w:rsidRPr="00000000">
              <w:rPr>
                <w:sz w:val="22"/>
                <w:szCs w:val="22"/>
                <w:rtl w:val="0"/>
              </w:rPr>
              <w:t xml:space="preserve">Study IUID</w:t>
            </w:r>
          </w:p>
        </w:tc>
        <w:tc>
          <w:tcPr>
            <w:shd w:fill="d9d9d9" w:val="clear"/>
          </w:tcPr>
          <w:p w:rsidR="00000000" w:rsidDel="00000000" w:rsidP="00000000" w:rsidRDefault="00000000" w:rsidRPr="00000000" w14:paraId="00000020">
            <w:pPr>
              <w:pStyle w:val="Heading1"/>
              <w:spacing w:before="0" w:lineRule="auto"/>
              <w:rPr>
                <w:sz w:val="22"/>
                <w:szCs w:val="22"/>
              </w:rPr>
            </w:pPr>
            <w:r w:rsidDel="00000000" w:rsidR="00000000" w:rsidRPr="00000000">
              <w:rPr>
                <w:sz w:val="22"/>
                <w:szCs w:val="22"/>
                <w:rtl w:val="0"/>
              </w:rPr>
              <w:t xml:space="preserve">Series IUID</w:t>
            </w:r>
          </w:p>
        </w:tc>
        <w:tc>
          <w:tcPr>
            <w:shd w:fill="d9d9d9" w:val="clear"/>
          </w:tcPr>
          <w:p w:rsidR="00000000" w:rsidDel="00000000" w:rsidP="00000000" w:rsidRDefault="00000000" w:rsidRPr="00000000" w14:paraId="00000021">
            <w:pPr>
              <w:pStyle w:val="Heading1"/>
              <w:spacing w:before="0" w:lineRule="auto"/>
              <w:rPr>
                <w:b w:val="0"/>
                <w:sz w:val="22"/>
                <w:szCs w:val="22"/>
              </w:rPr>
            </w:pPr>
            <w:r w:rsidDel="00000000" w:rsidR="00000000" w:rsidRPr="00000000">
              <w:rPr>
                <w:sz w:val="22"/>
                <w:szCs w:val="22"/>
                <w:rtl w:val="0"/>
              </w:rPr>
              <w:t xml:space="preserve">Number of instances </w:t>
            </w:r>
            <w:r w:rsidDel="00000000" w:rsidR="00000000" w:rsidRPr="00000000">
              <w:rPr>
                <w:rtl w:val="0"/>
              </w:rPr>
            </w:r>
          </w:p>
          <w:p w:rsidR="00000000" w:rsidDel="00000000" w:rsidP="00000000" w:rsidRDefault="00000000" w:rsidRPr="00000000" w14:paraId="00000022">
            <w:pPr>
              <w:pStyle w:val="Heading1"/>
              <w:spacing w:before="0" w:lineRule="auto"/>
              <w:rPr>
                <w:sz w:val="22"/>
                <w:szCs w:val="22"/>
              </w:rPr>
            </w:pPr>
            <w:r w:rsidDel="00000000" w:rsidR="00000000" w:rsidRPr="00000000">
              <w:rPr>
                <w:sz w:val="22"/>
                <w:szCs w:val="22"/>
                <w:rtl w:val="0"/>
              </w:rPr>
              <w:t xml:space="preserve">or file names</w:t>
            </w:r>
          </w:p>
        </w:tc>
        <w:tc>
          <w:tcPr>
            <w:shd w:fill="d9d9d9" w:val="clear"/>
          </w:tcPr>
          <w:p w:rsidR="00000000" w:rsidDel="00000000" w:rsidP="00000000" w:rsidRDefault="00000000" w:rsidRPr="00000000" w14:paraId="00000023">
            <w:pPr>
              <w:pStyle w:val="Heading1"/>
              <w:spacing w:before="0" w:lineRule="auto"/>
              <w:rPr>
                <w:sz w:val="22"/>
                <w:szCs w:val="22"/>
              </w:rPr>
            </w:pPr>
            <w:r w:rsidDel="00000000" w:rsidR="00000000" w:rsidRPr="00000000">
              <w:rPr>
                <w:sz w:val="22"/>
                <w:szCs w:val="22"/>
                <w:rtl w:val="0"/>
              </w:rPr>
              <w:t xml:space="preserve">Description</w:t>
            </w:r>
          </w:p>
        </w:tc>
        <w:tc>
          <w:tcPr>
            <w:shd w:fill="d9d9d9" w:val="clear"/>
          </w:tcPr>
          <w:p w:rsidR="00000000" w:rsidDel="00000000" w:rsidP="00000000" w:rsidRDefault="00000000" w:rsidRPr="00000000" w14:paraId="00000024">
            <w:pPr>
              <w:pStyle w:val="Heading1"/>
              <w:spacing w:before="0" w:lineRule="auto"/>
              <w:rPr>
                <w:sz w:val="22"/>
                <w:szCs w:val="22"/>
              </w:rPr>
            </w:pPr>
            <w:r w:rsidDel="00000000" w:rsidR="00000000" w:rsidRPr="00000000">
              <w:rPr>
                <w:sz w:val="22"/>
                <w:szCs w:val="22"/>
                <w:rtl w:val="0"/>
              </w:rPr>
              <w:t xml:space="preserve">SOP Class UID(s)</w:t>
            </w:r>
          </w:p>
        </w:tc>
      </w:tr>
      <w:tr>
        <w:trPr>
          <w:cantSplit w:val="0"/>
          <w:trHeight w:val="20" w:hRule="atLeast"/>
          <w:tblHeader w:val="0"/>
        </w:trPr>
        <w:tc>
          <w:tcPr/>
          <w:p w:rsidR="00000000" w:rsidDel="00000000" w:rsidP="00000000" w:rsidRDefault="00000000" w:rsidRPr="00000000" w14:paraId="00000025">
            <w:pPr>
              <w:rPr>
                <w:sz w:val="20"/>
                <w:szCs w:val="20"/>
              </w:rPr>
            </w:pPr>
            <w:r w:rsidDel="00000000" w:rsidR="00000000" w:rsidRPr="00000000">
              <w:rPr>
                <w:sz w:val="20"/>
                <w:szCs w:val="20"/>
                <w:rtl w:val="0"/>
              </w:rPr>
              <w:t xml:space="preserve">123</w:t>
            </w:r>
          </w:p>
        </w:tc>
        <w:tc>
          <w:tcPr/>
          <w:p w:rsidR="00000000" w:rsidDel="00000000" w:rsidP="00000000" w:rsidRDefault="00000000" w:rsidRPr="00000000" w14:paraId="00000026">
            <w:pPr>
              <w:rPr>
                <w:sz w:val="20"/>
                <w:szCs w:val="20"/>
              </w:rPr>
            </w:pPr>
            <w:r w:rsidDel="00000000" w:rsidR="00000000" w:rsidRPr="00000000">
              <w:rPr>
                <w:sz w:val="20"/>
                <w:szCs w:val="20"/>
                <w:rtl w:val="0"/>
              </w:rPr>
              <w:t xml:space="preserve">1.2.3.51.78.2344.1</w:t>
            </w:r>
          </w:p>
        </w:tc>
        <w:tc>
          <w:tcPr/>
          <w:p w:rsidR="00000000" w:rsidDel="00000000" w:rsidP="00000000" w:rsidRDefault="00000000" w:rsidRPr="00000000" w14:paraId="00000027">
            <w:pPr>
              <w:rPr>
                <w:sz w:val="20"/>
                <w:szCs w:val="20"/>
              </w:rPr>
            </w:pPr>
            <w:r w:rsidDel="00000000" w:rsidR="00000000" w:rsidRPr="00000000">
              <w:rPr>
                <w:sz w:val="20"/>
                <w:szCs w:val="20"/>
                <w:rtl w:val="0"/>
              </w:rPr>
              <w:t xml:space="preserve">1.2.3.51.78.2344.1.1</w:t>
            </w:r>
          </w:p>
        </w:tc>
        <w:tc>
          <w:tcPr/>
          <w:p w:rsidR="00000000" w:rsidDel="00000000" w:rsidP="00000000" w:rsidRDefault="00000000" w:rsidRPr="00000000" w14:paraId="00000028">
            <w:pPr>
              <w:rPr>
                <w:sz w:val="20"/>
                <w:szCs w:val="20"/>
              </w:rPr>
            </w:pPr>
            <w:r w:rsidDel="00000000" w:rsidR="00000000" w:rsidRPr="00000000">
              <w:rPr>
                <w:sz w:val="20"/>
                <w:szCs w:val="20"/>
                <w:rtl w:val="0"/>
              </w:rPr>
              <w:t xml:space="preserve">348 images</w:t>
            </w:r>
          </w:p>
        </w:tc>
        <w:tc>
          <w:tcPr/>
          <w:p w:rsidR="00000000" w:rsidDel="00000000" w:rsidP="00000000" w:rsidRDefault="00000000" w:rsidRPr="00000000" w14:paraId="00000029">
            <w:pPr>
              <w:rPr>
                <w:sz w:val="20"/>
                <w:szCs w:val="20"/>
              </w:rPr>
            </w:pPr>
            <w:r w:rsidDel="00000000" w:rsidR="00000000" w:rsidRPr="00000000">
              <w:rPr>
                <w:sz w:val="20"/>
                <w:szCs w:val="20"/>
                <w:rtl w:val="0"/>
              </w:rPr>
              <w:t xml:space="preserve">CT head series</w:t>
            </w:r>
          </w:p>
        </w:tc>
        <w:tc>
          <w:tcPr/>
          <w:p w:rsidR="00000000" w:rsidDel="00000000" w:rsidP="00000000" w:rsidRDefault="00000000" w:rsidRPr="00000000" w14:paraId="0000002A">
            <w:pPr>
              <w:rPr>
                <w:sz w:val="20"/>
                <w:szCs w:val="20"/>
              </w:rPr>
            </w:pPr>
            <w:r w:rsidDel="00000000" w:rsidR="00000000" w:rsidRPr="00000000">
              <w:rPr>
                <w:sz w:val="20"/>
                <w:szCs w:val="20"/>
                <w:rtl w:val="0"/>
              </w:rPr>
              <w:t xml:space="preserve">1.2.840.10008.5.1.4.1.1.2</w:t>
            </w:r>
          </w:p>
        </w:tc>
      </w:tr>
      <w:tr>
        <w:trPr>
          <w:cantSplit w:val="0"/>
          <w:trHeight w:val="63" w:hRule="atLeast"/>
          <w:tblHeader w:val="0"/>
        </w:trPr>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sz w:val="20"/>
                <w:szCs w:val="20"/>
                <w:rtl w:val="0"/>
              </w:rPr>
              <w:t xml:space="preserve">1.2.3.51.78.2344.1.2</w:t>
            </w:r>
            <w:r w:rsidDel="00000000" w:rsidR="00000000" w:rsidRPr="00000000">
              <w:rPr>
                <w:rtl w:val="0"/>
              </w:rPr>
            </w:r>
          </w:p>
        </w:tc>
        <w:tc>
          <w:tcPr/>
          <w:p w:rsidR="00000000" w:rsidDel="00000000" w:rsidP="00000000" w:rsidRDefault="00000000" w:rsidRPr="00000000" w14:paraId="0000002E">
            <w:pPr>
              <w:rPr/>
            </w:pPr>
            <w:r w:rsidDel="00000000" w:rsidR="00000000" w:rsidRPr="00000000">
              <w:rPr>
                <w:sz w:val="20"/>
                <w:szCs w:val="20"/>
                <w:rtl w:val="0"/>
              </w:rPr>
              <w:t xml:space="preserve">GSPS.dcm</w:t>
            </w:r>
            <w:r w:rsidDel="00000000" w:rsidR="00000000" w:rsidRPr="00000000">
              <w:rPr>
                <w:rtl w:val="0"/>
              </w:rPr>
            </w:r>
          </w:p>
        </w:tc>
        <w:tc>
          <w:tcPr/>
          <w:p w:rsidR="00000000" w:rsidDel="00000000" w:rsidP="00000000" w:rsidRDefault="00000000" w:rsidRPr="00000000" w14:paraId="0000002F">
            <w:pPr>
              <w:rPr/>
            </w:pPr>
            <w:r w:rsidDel="00000000" w:rsidR="00000000" w:rsidRPr="00000000">
              <w:rPr>
                <w:sz w:val="20"/>
                <w:szCs w:val="20"/>
                <w:rtl w:val="0"/>
              </w:rPr>
              <w:t xml:space="preserve">GSPS series</w:t>
            </w:r>
            <w:r w:rsidDel="00000000" w:rsidR="00000000" w:rsidRPr="00000000">
              <w:rPr>
                <w:rtl w:val="0"/>
              </w:rPr>
            </w:r>
          </w:p>
        </w:tc>
        <w:tc>
          <w:tcPr/>
          <w:p w:rsidR="00000000" w:rsidDel="00000000" w:rsidP="00000000" w:rsidRDefault="00000000" w:rsidRPr="00000000" w14:paraId="00000030">
            <w:pPr>
              <w:rPr>
                <w:sz w:val="20"/>
                <w:szCs w:val="20"/>
              </w:rPr>
            </w:pPr>
            <w:r w:rsidDel="00000000" w:rsidR="00000000" w:rsidRPr="00000000">
              <w:rPr>
                <w:sz w:val="20"/>
                <w:szCs w:val="20"/>
                <w:rtl w:val="0"/>
              </w:rPr>
              <w:t xml:space="preserve">1.2.840.10008.5.1.4.1.1.11.1</w:t>
            </w:r>
          </w:p>
        </w:tc>
      </w:tr>
    </w:tbl>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Test Script</w:t>
      </w:r>
    </w:p>
    <w:tbl>
      <w:tblPr>
        <w:tblStyle w:val="Table3"/>
        <w:tblW w:w="13994.0" w:type="dxa"/>
        <w:jc w:val="left"/>
        <w:tblInd w:w="0.0" w:type="dxa"/>
        <w:tblBorders>
          <w:top w:color="4f81bd" w:space="0" w:sz="4" w:val="single"/>
          <w:left w:color="4f81bd" w:space="0" w:sz="4" w:val="single"/>
          <w:bottom w:color="4f81bd" w:space="0" w:sz="4" w:val="single"/>
          <w:right w:color="4f81bd" w:space="0" w:sz="4" w:val="single"/>
          <w:insideH w:color="000000" w:space="0" w:sz="4" w:val="single"/>
          <w:insideV w:color="000000" w:space="0" w:sz="4" w:val="single"/>
        </w:tblBorders>
        <w:tblLayout w:type="fixed"/>
        <w:tblLook w:val="0400"/>
      </w:tblPr>
      <w:tblGrid>
        <w:gridCol w:w="1319"/>
        <w:gridCol w:w="2787"/>
        <w:gridCol w:w="3827"/>
        <w:gridCol w:w="4962"/>
        <w:gridCol w:w="1099"/>
        <w:tblGridChange w:id="0">
          <w:tblGrid>
            <w:gridCol w:w="1319"/>
            <w:gridCol w:w="2787"/>
            <w:gridCol w:w="3827"/>
            <w:gridCol w:w="4962"/>
            <w:gridCol w:w="1099"/>
          </w:tblGrid>
        </w:tblGridChange>
      </w:tblGrid>
      <w:tr>
        <w:trPr>
          <w:cantSplit w:val="0"/>
          <w:trHeight w:val="317" w:hRule="atLeast"/>
          <w:tblHeader w:val="0"/>
        </w:trPr>
        <w:tc>
          <w:tcPr>
            <w:shd w:fill="d9d9d9" w:val="clear"/>
            <w:vAlign w:val="center"/>
          </w:tcPr>
          <w:p w:rsidR="00000000" w:rsidDel="00000000" w:rsidP="00000000" w:rsidRDefault="00000000" w:rsidRPr="00000000" w14:paraId="00000034">
            <w:pPr>
              <w:pStyle w:val="Heading1"/>
              <w:rPr>
                <w:b w:val="1"/>
                <w:sz w:val="24"/>
                <w:szCs w:val="24"/>
              </w:rPr>
            </w:pPr>
            <w:r w:rsidDel="00000000" w:rsidR="00000000" w:rsidRPr="00000000">
              <w:rPr>
                <w:b w:val="1"/>
                <w:sz w:val="24"/>
                <w:szCs w:val="24"/>
                <w:rtl w:val="0"/>
              </w:rPr>
              <w:t xml:space="preserve">Step</w:t>
            </w:r>
          </w:p>
        </w:tc>
        <w:tc>
          <w:tcPr>
            <w:shd w:fill="d9d9d9" w:val="clear"/>
            <w:vAlign w:val="center"/>
          </w:tcPr>
          <w:p w:rsidR="00000000" w:rsidDel="00000000" w:rsidP="00000000" w:rsidRDefault="00000000" w:rsidRPr="00000000" w14:paraId="00000035">
            <w:pPr>
              <w:pStyle w:val="Heading1"/>
              <w:rPr>
                <w:b w:val="1"/>
                <w:sz w:val="24"/>
                <w:szCs w:val="24"/>
              </w:rPr>
            </w:pPr>
            <w:r w:rsidDel="00000000" w:rsidR="00000000" w:rsidRPr="00000000">
              <w:rPr>
                <w:b w:val="1"/>
                <w:sz w:val="24"/>
                <w:szCs w:val="24"/>
                <w:rtl w:val="0"/>
              </w:rPr>
              <w:t xml:space="preserve">Action</w:t>
            </w:r>
          </w:p>
        </w:tc>
        <w:tc>
          <w:tcPr>
            <w:shd w:fill="d9d9d9" w:val="clear"/>
            <w:vAlign w:val="center"/>
          </w:tcPr>
          <w:p w:rsidR="00000000" w:rsidDel="00000000" w:rsidP="00000000" w:rsidRDefault="00000000" w:rsidRPr="00000000" w14:paraId="00000036">
            <w:pPr>
              <w:pStyle w:val="Heading1"/>
              <w:rPr>
                <w:b w:val="1"/>
                <w:sz w:val="24"/>
                <w:szCs w:val="24"/>
              </w:rPr>
            </w:pPr>
            <w:r w:rsidDel="00000000" w:rsidR="00000000" w:rsidRPr="00000000">
              <w:rPr>
                <w:b w:val="1"/>
                <w:sz w:val="24"/>
                <w:szCs w:val="24"/>
                <w:rtl w:val="0"/>
              </w:rPr>
              <w:t xml:space="preserve">Expected Result</w:t>
            </w:r>
          </w:p>
        </w:tc>
        <w:tc>
          <w:tcPr>
            <w:shd w:fill="d9d9d9" w:val="clear"/>
            <w:vAlign w:val="center"/>
          </w:tcPr>
          <w:p w:rsidR="00000000" w:rsidDel="00000000" w:rsidP="00000000" w:rsidRDefault="00000000" w:rsidRPr="00000000" w14:paraId="00000037">
            <w:pPr>
              <w:pStyle w:val="Heading1"/>
              <w:rPr>
                <w:b w:val="1"/>
                <w:sz w:val="24"/>
                <w:szCs w:val="24"/>
              </w:rPr>
            </w:pPr>
            <w:r w:rsidDel="00000000" w:rsidR="00000000" w:rsidRPr="00000000">
              <w:rPr>
                <w:b w:val="1"/>
                <w:sz w:val="24"/>
                <w:szCs w:val="24"/>
                <w:rtl w:val="0"/>
              </w:rPr>
              <w:t xml:space="preserve">Actual Result</w:t>
            </w:r>
          </w:p>
        </w:tc>
        <w:tc>
          <w:tcPr>
            <w:shd w:fill="d9d9d9" w:val="clear"/>
            <w:vAlign w:val="center"/>
          </w:tcPr>
          <w:p w:rsidR="00000000" w:rsidDel="00000000" w:rsidP="00000000" w:rsidRDefault="00000000" w:rsidRPr="00000000" w14:paraId="00000038">
            <w:pPr>
              <w:pStyle w:val="Heading1"/>
              <w:rPr>
                <w:b w:val="1"/>
                <w:sz w:val="24"/>
                <w:szCs w:val="24"/>
              </w:rPr>
            </w:pPr>
            <w:r w:rsidDel="00000000" w:rsidR="00000000" w:rsidRPr="00000000">
              <w:rPr>
                <w:b w:val="1"/>
                <w:sz w:val="24"/>
                <w:szCs w:val="24"/>
                <w:rtl w:val="0"/>
              </w:rPr>
              <w:t xml:space="preserve">Status</w:t>
            </w:r>
          </w:p>
        </w:tc>
      </w:tr>
      <w:tr>
        <w:trPr>
          <w:cantSplit w:val="0"/>
          <w:tblHeader w:val="0"/>
        </w:trPr>
        <w:tc>
          <w:tcPr>
            <w:gridSpan w:val="5"/>
          </w:tcPr>
          <w:p w:rsidR="00000000" w:rsidDel="00000000" w:rsidP="00000000" w:rsidRDefault="00000000" w:rsidRPr="00000000" w14:paraId="00000039">
            <w:pPr>
              <w:pStyle w:val="Heading1"/>
              <w:rPr>
                <w:sz w:val="22"/>
                <w:szCs w:val="22"/>
              </w:rPr>
            </w:pPr>
            <w:r w:rsidDel="00000000" w:rsidR="00000000" w:rsidRPr="00000000">
              <w:rPr>
                <w:sz w:val="24"/>
                <w:szCs w:val="24"/>
                <w:rtl w:val="0"/>
              </w:rPr>
              <w:t xml:space="preserve">Import</w:t>
            </w:r>
            <w:r w:rsidDel="00000000" w:rsidR="00000000" w:rsidRPr="00000000">
              <w:rPr>
                <w:rtl w:val="0"/>
              </w:rPr>
            </w:r>
          </w:p>
        </w:tc>
      </w:tr>
      <w:tr>
        <w:trPr>
          <w:cantSplit w:val="0"/>
          <w:tblHeader w:val="0"/>
        </w:trPr>
        <w:tc>
          <w:tcPr/>
          <w:p w:rsidR="00000000" w:rsidDel="00000000" w:rsidP="00000000" w:rsidRDefault="00000000" w:rsidRPr="00000000" w14:paraId="0000003E">
            <w:pP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3F">
            <w:pPr>
              <w:rPr>
                <w:sz w:val="20"/>
                <w:szCs w:val="20"/>
              </w:rPr>
            </w:pPr>
            <w:r w:rsidDel="00000000" w:rsidR="00000000" w:rsidRPr="00000000">
              <w:rPr>
                <w:sz w:val="20"/>
                <w:szCs w:val="20"/>
                <w:rtl w:val="0"/>
              </w:rPr>
              <w:t xml:space="preserve">Import Test Items into Consumer application</w:t>
            </w:r>
          </w:p>
        </w:tc>
        <w:tc>
          <w:tcPr/>
          <w:p w:rsidR="00000000" w:rsidDel="00000000" w:rsidP="00000000" w:rsidRDefault="00000000" w:rsidRPr="00000000" w14:paraId="00000040">
            <w:pPr>
              <w:rPr>
                <w:sz w:val="20"/>
                <w:szCs w:val="20"/>
              </w:rPr>
            </w:pPr>
            <w:r w:rsidDel="00000000" w:rsidR="00000000" w:rsidRPr="00000000">
              <w:rPr>
                <w:sz w:val="20"/>
                <w:szCs w:val="20"/>
                <w:rtl w:val="0"/>
              </w:rPr>
              <w:t xml:space="preserve">Test items can be imported (SOP classes / Transfer syntaxes are supported by the Consumer application).</w:t>
            </w:r>
          </w:p>
          <w:p w:rsidR="00000000" w:rsidDel="00000000" w:rsidP="00000000" w:rsidRDefault="00000000" w:rsidRPr="00000000" w14:paraId="00000041">
            <w:pPr>
              <w:rPr>
                <w:sz w:val="20"/>
                <w:szCs w:val="20"/>
              </w:rPr>
            </w:pPr>
            <w:r w:rsidDel="00000000" w:rsidR="00000000" w:rsidRPr="00000000">
              <w:rPr>
                <w:color w:val="000000"/>
                <w:sz w:val="20"/>
                <w:szCs w:val="20"/>
                <w:rtl w:val="0"/>
              </w:rPr>
              <w:t xml:space="preserve">if one of the SOP class / Transfer syntax is not supported by your application, mention it in Actual Result. Provide a link to your DCS</w:t>
            </w:r>
            <w:r w:rsidDel="00000000" w:rsidR="00000000" w:rsidRPr="00000000">
              <w:rPr>
                <w:rtl w:val="0"/>
              </w:rPr>
            </w:r>
          </w:p>
        </w:tc>
        <w:tc>
          <w:tcPr/>
          <w:p w:rsidR="00000000" w:rsidDel="00000000" w:rsidP="00000000" w:rsidRDefault="00000000" w:rsidRPr="00000000" w14:paraId="00000042">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objects were properly imported using Explicit Little Endian Transfer syntax</w:t>
            </w:r>
          </w:p>
        </w:tc>
        <w:tc>
          <w:tcPr>
            <w:shd w:fill="99ff33" w:val="clear"/>
          </w:tcPr>
          <w:p w:rsidR="00000000" w:rsidDel="00000000" w:rsidP="00000000" w:rsidRDefault="00000000" w:rsidRPr="00000000" w14:paraId="00000043">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Pass</w:t>
            </w:r>
          </w:p>
        </w:tc>
      </w:tr>
      <w:tr>
        <w:trPr>
          <w:cantSplit w:val="0"/>
          <w:tblHeader w:val="0"/>
        </w:trPr>
        <w:tc>
          <w:tcPr/>
          <w:p w:rsidR="00000000" w:rsidDel="00000000" w:rsidP="00000000" w:rsidRDefault="00000000" w:rsidRPr="00000000" w14:paraId="00000044">
            <w:pP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Check the Study/series/instances hierarchy in the consumer application</w:t>
            </w:r>
          </w:p>
        </w:tc>
        <w:tc>
          <w:tcPr/>
          <w:p w:rsidR="00000000" w:rsidDel="00000000" w:rsidP="00000000" w:rsidRDefault="00000000" w:rsidRPr="00000000" w14:paraId="00000046">
            <w:pPr>
              <w:rPr>
                <w:sz w:val="20"/>
                <w:szCs w:val="20"/>
              </w:rPr>
            </w:pPr>
            <w:r w:rsidDel="00000000" w:rsidR="00000000" w:rsidRPr="00000000">
              <w:rPr>
                <w:sz w:val="20"/>
                <w:szCs w:val="20"/>
                <w:rtl w:val="0"/>
              </w:rPr>
              <w:t xml:space="preserve">Study, Series, instances hierarchy is as described in the “</w:t>
            </w:r>
            <w:hyperlink w:anchor="_heading=h.gjdgxs">
              <w:r w:rsidDel="00000000" w:rsidR="00000000" w:rsidRPr="00000000">
                <w:rPr>
                  <w:color w:val="0000ff"/>
                  <w:sz w:val="20"/>
                  <w:szCs w:val="20"/>
                  <w:u w:val="single"/>
                  <w:rtl w:val="0"/>
                </w:rPr>
                <w:t xml:space="preserve">Test Input structure table</w:t>
              </w:r>
            </w:hyperlink>
            <w:r w:rsidDel="00000000" w:rsidR="00000000" w:rsidRPr="00000000">
              <w:rPr>
                <w:sz w:val="20"/>
                <w:szCs w:val="20"/>
                <w:rtl w:val="0"/>
              </w:rPr>
              <w:t xml:space="preserve">”</w:t>
            </w:r>
          </w:p>
        </w:tc>
        <w:tc>
          <w:tcPr/>
          <w:p w:rsidR="00000000" w:rsidDel="00000000" w:rsidP="00000000" w:rsidRDefault="00000000" w:rsidRPr="00000000" w14:paraId="00000047">
            <w:pPr>
              <w:pStyle w:val="Heading1"/>
              <w:spacing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study list screen of our application shows the proper number of series (2) and images / instances in the study</w:t>
            </w:r>
          </w:p>
        </w:tc>
        <w:tc>
          <w:tcPr>
            <w:shd w:fill="99ff33" w:val="clear"/>
          </w:tcPr>
          <w:p w:rsidR="00000000" w:rsidDel="00000000" w:rsidP="00000000" w:rsidRDefault="00000000" w:rsidRPr="00000000" w14:paraId="00000048">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Pass</w:t>
            </w:r>
          </w:p>
        </w:tc>
      </w:tr>
      <w:tr>
        <w:trPr>
          <w:cantSplit w:val="0"/>
          <w:tblHeader w:val="0"/>
        </w:trPr>
        <w:tc>
          <w:tcPr/>
          <w:p w:rsidR="00000000" w:rsidDel="00000000" w:rsidP="00000000" w:rsidRDefault="00000000" w:rsidRPr="00000000" w14:paraId="00000049">
            <w:pP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4A">
            <w:pPr>
              <w:rPr>
                <w:sz w:val="20"/>
                <w:szCs w:val="20"/>
              </w:rPr>
            </w:pPr>
            <w:r w:rsidDel="00000000" w:rsidR="00000000" w:rsidRPr="00000000">
              <w:rPr>
                <w:sz w:val="20"/>
                <w:szCs w:val="20"/>
                <w:rtl w:val="0"/>
              </w:rPr>
              <w:t xml:space="preserve">Navigate through the test input in the consumer application</w:t>
            </w:r>
          </w:p>
        </w:tc>
        <w:tc>
          <w:tcPr/>
          <w:p w:rsidR="00000000" w:rsidDel="00000000" w:rsidP="00000000" w:rsidRDefault="00000000" w:rsidRPr="00000000" w14:paraId="0000004B">
            <w:pPr>
              <w:rPr>
                <w:sz w:val="20"/>
                <w:szCs w:val="20"/>
              </w:rPr>
            </w:pPr>
            <w:r w:rsidDel="00000000" w:rsidR="00000000" w:rsidRPr="00000000">
              <w:rPr>
                <w:sz w:val="20"/>
                <w:szCs w:val="20"/>
                <w:rtl w:val="0"/>
              </w:rPr>
              <w:t xml:space="preserve">Next/previous image/frame/series navigation behaves correctly within the Consumer application</w:t>
            </w:r>
          </w:p>
        </w:tc>
        <w:tc>
          <w:tcPr/>
          <w:p w:rsidR="00000000" w:rsidDel="00000000" w:rsidP="00000000" w:rsidRDefault="00000000" w:rsidRPr="00000000" w14:paraId="0000004C">
            <w:pPr>
              <w:pStyle w:val="Heading1"/>
              <w:spacing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Navigation through the series properly handled</w:t>
            </w:r>
          </w:p>
        </w:tc>
        <w:tc>
          <w:tcPr>
            <w:shd w:fill="99ff33" w:val="clear"/>
          </w:tcPr>
          <w:p w:rsidR="00000000" w:rsidDel="00000000" w:rsidP="00000000" w:rsidRDefault="00000000" w:rsidRPr="00000000" w14:paraId="0000004D">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Pass</w:t>
            </w:r>
          </w:p>
        </w:tc>
      </w:tr>
      <w:tr>
        <w:trPr>
          <w:cantSplit w:val="0"/>
          <w:tblHeader w:val="0"/>
        </w:trPr>
        <w:tc>
          <w:tcPr>
            <w:gridSpan w:val="5"/>
          </w:tcPr>
          <w:p w:rsidR="00000000" w:rsidDel="00000000" w:rsidP="00000000" w:rsidRDefault="00000000" w:rsidRPr="00000000" w14:paraId="0000004E">
            <w:pPr>
              <w:pStyle w:val="Heading1"/>
              <w:rPr/>
            </w:pPr>
            <w:r w:rsidDel="00000000" w:rsidR="00000000" w:rsidRPr="00000000">
              <w:rPr>
                <w:sz w:val="24"/>
                <w:szCs w:val="24"/>
                <w:rtl w:val="0"/>
              </w:rPr>
              <w:t xml:space="preserve">Image display</w:t>
            </w:r>
            <w:r w:rsidDel="00000000" w:rsidR="00000000" w:rsidRPr="00000000">
              <w:rPr>
                <w:rtl w:val="0"/>
              </w:rPr>
            </w:r>
          </w:p>
        </w:tc>
      </w:tr>
      <w:tr>
        <w:trPr>
          <w:cantSplit w:val="0"/>
          <w:tblHeader w:val="0"/>
        </w:trPr>
        <w:tc>
          <w:tcPr/>
          <w:p w:rsidR="00000000" w:rsidDel="00000000" w:rsidP="00000000" w:rsidRDefault="00000000" w:rsidRPr="00000000" w14:paraId="00000053">
            <w:pPr>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054">
            <w:pPr>
              <w:rPr>
                <w:sz w:val="20"/>
                <w:szCs w:val="20"/>
              </w:rPr>
            </w:pPr>
            <w:r w:rsidDel="00000000" w:rsidR="00000000" w:rsidRPr="00000000">
              <w:rPr>
                <w:sz w:val="20"/>
                <w:szCs w:val="20"/>
                <w:rtl w:val="0"/>
              </w:rPr>
              <w:t xml:space="preserve">Thumbnail view into the Consumer display</w:t>
            </w:r>
          </w:p>
        </w:tc>
        <w:tc>
          <w:tcPr/>
          <w:p w:rsidR="00000000" w:rsidDel="00000000" w:rsidP="00000000" w:rsidRDefault="00000000" w:rsidRPr="00000000" w14:paraId="00000055">
            <w:pPr>
              <w:rPr>
                <w:sz w:val="20"/>
                <w:szCs w:val="20"/>
              </w:rPr>
            </w:pPr>
            <w:r w:rsidDel="00000000" w:rsidR="00000000" w:rsidRPr="00000000">
              <w:rPr>
                <w:sz w:val="20"/>
                <w:szCs w:val="20"/>
                <w:rtl w:val="0"/>
              </w:rPr>
              <w:t xml:space="preserve">Thumbnails are representative of the image content and displayed default window/level values</w:t>
            </w:r>
          </w:p>
        </w:tc>
        <w:tc>
          <w:tcPr/>
          <w:p w:rsidR="00000000" w:rsidDel="00000000" w:rsidP="00000000" w:rsidRDefault="00000000" w:rsidRPr="00000000" w14:paraId="00000056">
            <w:pPr>
              <w:pStyle w:val="Heading1"/>
              <w:spacing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There is no possibility to display the thumbnails in our application</w:t>
            </w:r>
          </w:p>
        </w:tc>
        <w:tc>
          <w:tcPr>
            <w:shd w:fill="bfbfbf" w:val="clear"/>
          </w:tcPr>
          <w:p w:rsidR="00000000" w:rsidDel="00000000" w:rsidP="00000000" w:rsidRDefault="00000000" w:rsidRPr="00000000" w14:paraId="00000057">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w:t>
            </w:r>
          </w:p>
        </w:tc>
      </w:tr>
      <w:tr>
        <w:trPr>
          <w:cantSplit w:val="0"/>
          <w:tblHeader w:val="0"/>
        </w:trPr>
        <w:tc>
          <w:tcPr/>
          <w:p w:rsidR="00000000" w:rsidDel="00000000" w:rsidP="00000000" w:rsidRDefault="00000000" w:rsidRPr="00000000" w14:paraId="00000058">
            <w:pPr>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59">
            <w:pPr>
              <w:rPr>
                <w:sz w:val="20"/>
                <w:szCs w:val="20"/>
              </w:rPr>
            </w:pPr>
            <w:r w:rsidDel="00000000" w:rsidR="00000000" w:rsidRPr="00000000">
              <w:rPr>
                <w:sz w:val="20"/>
                <w:szCs w:val="20"/>
                <w:rtl w:val="0"/>
              </w:rPr>
              <w:t xml:space="preserve">Grayscale image view into the Consumer display. Do not apply the Presentation state</w:t>
            </w:r>
          </w:p>
        </w:tc>
        <w:tc>
          <w:tcPr/>
          <w:p w:rsidR="00000000" w:rsidDel="00000000" w:rsidP="00000000" w:rsidRDefault="00000000" w:rsidRPr="00000000" w14:paraId="0000005A">
            <w:pPr>
              <w:rPr>
                <w:sz w:val="20"/>
                <w:szCs w:val="20"/>
              </w:rPr>
            </w:pPr>
            <w:r w:rsidDel="00000000" w:rsidR="00000000" w:rsidRPr="00000000">
              <w:rPr>
                <w:sz w:val="20"/>
                <w:szCs w:val="20"/>
                <w:rtl w:val="0"/>
              </w:rPr>
              <w:t xml:space="preserve">Grayscale images display VOI LUT or window values supplied in the DICOM header of the images.</w:t>
            </w:r>
          </w:p>
          <w:p w:rsidR="00000000" w:rsidDel="00000000" w:rsidP="00000000" w:rsidRDefault="00000000" w:rsidRPr="00000000" w14:paraId="0000005B">
            <w:pPr>
              <w:rPr>
                <w:i w:val="1"/>
                <w:sz w:val="20"/>
                <w:szCs w:val="20"/>
              </w:rPr>
            </w:pPr>
            <w:r w:rsidDel="00000000" w:rsidR="00000000" w:rsidRPr="00000000">
              <w:rPr/>
              <w:drawing>
                <wp:inline distB="0" distT="0" distL="0" distR="0">
                  <wp:extent cx="1907751" cy="1495589"/>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7751" cy="149558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C">
            <w:pPr>
              <w:pStyle w:val="Heading1"/>
              <w:spacing w:before="0" w:lineRule="auto"/>
              <w:rPr/>
            </w:pPr>
            <w:r w:rsidDel="00000000" w:rsidR="00000000" w:rsidRPr="00000000">
              <w:rPr>
                <w:rFonts w:ascii="Calibri" w:cs="Calibri" w:eastAsia="Calibri" w:hAnsi="Calibri"/>
                <w:color w:val="000000"/>
                <w:sz w:val="20"/>
                <w:szCs w:val="20"/>
                <w:rtl w:val="0"/>
              </w:rPr>
              <w:t xml:space="preserve">Grayscale Images properly displayed when GSPS is not applied:</w:t>
            </w:r>
            <w:r w:rsidDel="00000000" w:rsidR="00000000" w:rsidRPr="00000000">
              <w:rPr>
                <w:rtl w:val="0"/>
              </w:rPr>
            </w:r>
          </w:p>
          <w:p w:rsidR="00000000" w:rsidDel="00000000" w:rsidP="00000000" w:rsidRDefault="00000000" w:rsidRPr="00000000" w14:paraId="0000005D">
            <w:pPr>
              <w:rPr/>
            </w:pPr>
            <w:r w:rsidDel="00000000" w:rsidR="00000000" w:rsidRPr="00000000">
              <w:rPr/>
              <w:drawing>
                <wp:inline distB="0" distT="0" distL="0" distR="0">
                  <wp:extent cx="2003876" cy="1570745"/>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03876" cy="1570745"/>
                          </a:xfrm>
                          <a:prstGeom prst="rect"/>
                          <a:ln/>
                        </pic:spPr>
                      </pic:pic>
                    </a:graphicData>
                  </a:graphic>
                </wp:inline>
              </w:drawing>
            </w:r>
            <w:r w:rsidDel="00000000" w:rsidR="00000000" w:rsidRPr="00000000">
              <w:rPr>
                <w:rtl w:val="0"/>
              </w:rPr>
            </w:r>
          </w:p>
        </w:tc>
        <w:tc>
          <w:tcPr>
            <w:shd w:fill="99ff33" w:val="clear"/>
          </w:tcPr>
          <w:p w:rsidR="00000000" w:rsidDel="00000000" w:rsidP="00000000" w:rsidRDefault="00000000" w:rsidRPr="00000000" w14:paraId="0000005E">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Pass</w:t>
            </w:r>
          </w:p>
        </w:tc>
      </w:tr>
      <w:tr>
        <w:trPr>
          <w:cantSplit w:val="0"/>
          <w:tblHeader w:val="0"/>
        </w:trPr>
        <w:tc>
          <w:tcPr/>
          <w:p w:rsidR="00000000" w:rsidDel="00000000" w:rsidP="00000000" w:rsidRDefault="00000000" w:rsidRPr="00000000" w14:paraId="0000005F">
            <w:pPr>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060">
            <w:pPr>
              <w:rPr>
                <w:sz w:val="20"/>
                <w:szCs w:val="20"/>
              </w:rPr>
            </w:pPr>
            <w:r w:rsidDel="00000000" w:rsidR="00000000" w:rsidRPr="00000000">
              <w:rPr>
                <w:sz w:val="20"/>
                <w:szCs w:val="20"/>
                <w:rtl w:val="0"/>
              </w:rPr>
              <w:t xml:space="preserve">Grayscale image view into the Consumer display. Apply the Presentation state and check the grayscale</w:t>
            </w:r>
          </w:p>
        </w:tc>
        <w:tc>
          <w:tcPr/>
          <w:p w:rsidR="00000000" w:rsidDel="00000000" w:rsidP="00000000" w:rsidRDefault="00000000" w:rsidRPr="00000000" w14:paraId="00000061">
            <w:pPr>
              <w:rPr>
                <w:sz w:val="20"/>
                <w:szCs w:val="20"/>
              </w:rPr>
            </w:pPr>
            <w:r w:rsidDel="00000000" w:rsidR="00000000" w:rsidRPr="00000000">
              <w:rPr>
                <w:sz w:val="20"/>
                <w:szCs w:val="20"/>
                <w:rtl w:val="0"/>
              </w:rPr>
              <w:t xml:space="preserve">Grayscale images display VOI LUT or window values supplied in the DICOM header of the GSPS.</w:t>
            </w:r>
          </w:p>
          <w:p w:rsidR="00000000" w:rsidDel="00000000" w:rsidP="00000000" w:rsidRDefault="00000000" w:rsidRPr="00000000" w14:paraId="00000062">
            <w:pPr>
              <w:rPr>
                <w:sz w:val="20"/>
                <w:szCs w:val="20"/>
              </w:rPr>
            </w:pPr>
            <w:r w:rsidDel="00000000" w:rsidR="00000000" w:rsidRPr="00000000">
              <w:rPr/>
              <w:drawing>
                <wp:inline distB="0" distT="0" distL="0" distR="0">
                  <wp:extent cx="1820436" cy="1761907"/>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820436" cy="1761907"/>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tc>
        <w:tc>
          <w:tcPr/>
          <w:p w:rsidR="00000000" w:rsidDel="00000000" w:rsidP="00000000" w:rsidRDefault="00000000" w:rsidRPr="00000000" w14:paraId="00000064">
            <w:pPr>
              <w:pStyle w:val="Heading1"/>
              <w:spacing w:before="0" w:lineRule="auto"/>
              <w:rPr/>
            </w:pPr>
            <w:r w:rsidDel="00000000" w:rsidR="00000000" w:rsidRPr="00000000">
              <w:rPr>
                <w:rFonts w:ascii="Calibri" w:cs="Calibri" w:eastAsia="Calibri" w:hAnsi="Calibri"/>
                <w:color w:val="000000"/>
                <w:sz w:val="20"/>
                <w:szCs w:val="20"/>
                <w:rtl w:val="0"/>
              </w:rPr>
              <w:t xml:space="preserve">Images are much too bright. Something is wrong with the interpretation of the W/L or the VOI LUT sequence present in the GSPS</w:t>
            </w:r>
            <w:r w:rsidDel="00000000" w:rsidR="00000000" w:rsidRPr="00000000">
              <w:rPr>
                <w:rtl w:val="0"/>
              </w:rPr>
            </w:r>
          </w:p>
          <w:p w:rsidR="00000000" w:rsidDel="00000000" w:rsidP="00000000" w:rsidRDefault="00000000" w:rsidRPr="00000000" w14:paraId="00000065">
            <w:pPr>
              <w:rPr/>
            </w:pPr>
            <w:r w:rsidDel="00000000" w:rsidR="00000000" w:rsidRPr="00000000">
              <w:rPr/>
              <w:drawing>
                <wp:inline distB="0" distT="0" distL="0" distR="0">
                  <wp:extent cx="1825453" cy="1887524"/>
                  <wp:effectExtent b="0" l="0" r="0" t="0"/>
                  <wp:docPr id="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825453" cy="1887524"/>
                          </a:xfrm>
                          <a:prstGeom prst="rect"/>
                          <a:ln/>
                        </pic:spPr>
                      </pic:pic>
                    </a:graphicData>
                  </a:graphic>
                </wp:inline>
              </w:drawing>
            </w:r>
            <w:r w:rsidDel="00000000" w:rsidR="00000000" w:rsidRPr="00000000">
              <w:rPr>
                <w:rtl w:val="0"/>
              </w:rPr>
            </w:r>
          </w:p>
        </w:tc>
        <w:tc>
          <w:tcPr>
            <w:shd w:fill="ff0000" w:val="clear"/>
          </w:tcPr>
          <w:p w:rsidR="00000000" w:rsidDel="00000000" w:rsidP="00000000" w:rsidRDefault="00000000" w:rsidRPr="00000000" w14:paraId="00000066">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Fail</w:t>
            </w:r>
          </w:p>
        </w:tc>
      </w:tr>
      <w:tr>
        <w:trPr>
          <w:cantSplit w:val="0"/>
          <w:tblHeader w:val="0"/>
        </w:trPr>
        <w:tc>
          <w:tcPr/>
          <w:p w:rsidR="00000000" w:rsidDel="00000000" w:rsidP="00000000" w:rsidRDefault="00000000" w:rsidRPr="00000000" w14:paraId="00000067">
            <w:pPr>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068">
            <w:pPr>
              <w:rPr>
                <w:sz w:val="20"/>
                <w:szCs w:val="20"/>
              </w:rPr>
            </w:pPr>
            <w:r w:rsidDel="00000000" w:rsidR="00000000" w:rsidRPr="00000000">
              <w:rPr>
                <w:sz w:val="20"/>
                <w:szCs w:val="20"/>
                <w:rtl w:val="0"/>
              </w:rPr>
              <w:t xml:space="preserve">Markups and annotations view into the Consumer display. Apply the presentation state and scroll to image N° 5 on which the markups and annotations are applied</w:t>
            </w:r>
          </w:p>
        </w:tc>
        <w:tc>
          <w:tcPr/>
          <w:p w:rsidR="00000000" w:rsidDel="00000000" w:rsidP="00000000" w:rsidRDefault="00000000" w:rsidRPr="00000000" w14:paraId="00000069">
            <w:pPr>
              <w:rPr>
                <w:sz w:val="20"/>
                <w:szCs w:val="20"/>
              </w:rPr>
            </w:pPr>
            <w:r w:rsidDel="00000000" w:rsidR="00000000" w:rsidRPr="00000000">
              <w:rPr>
                <w:sz w:val="20"/>
                <w:szCs w:val="20"/>
                <w:rtl w:val="0"/>
              </w:rPr>
              <w:t xml:space="preserve">Markups and annotations present in the GSPS for image N°5 are properly applied by the consumer viewer.</w:t>
            </w:r>
          </w:p>
          <w:p w:rsidR="00000000" w:rsidDel="00000000" w:rsidP="00000000" w:rsidRDefault="00000000" w:rsidRPr="00000000" w14:paraId="0000006A">
            <w:pPr>
              <w:rPr>
                <w:sz w:val="20"/>
                <w:szCs w:val="20"/>
              </w:rPr>
            </w:pPr>
            <w:r w:rsidDel="00000000" w:rsidR="00000000" w:rsidRPr="00000000">
              <w:rPr>
                <w:sz w:val="20"/>
                <w:szCs w:val="20"/>
                <w:rtl w:val="0"/>
              </w:rPr>
              <w:t xml:space="preserve">See screen shot of expected result in step #12</w:t>
            </w:r>
          </w:p>
        </w:tc>
        <w:tc>
          <w:tcPr/>
          <w:p w:rsidR="00000000" w:rsidDel="00000000" w:rsidP="00000000" w:rsidRDefault="00000000" w:rsidRPr="00000000" w14:paraId="0000006B">
            <w:pPr>
              <w:pStyle w:val="Heading1"/>
              <w:spacing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Markups and annotations properly displayed. See screen shot previous step</w:t>
            </w:r>
          </w:p>
        </w:tc>
        <w:tc>
          <w:tcPr>
            <w:shd w:fill="99ff33" w:val="clear"/>
          </w:tcPr>
          <w:p w:rsidR="00000000" w:rsidDel="00000000" w:rsidP="00000000" w:rsidRDefault="00000000" w:rsidRPr="00000000" w14:paraId="0000006C">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Pass</w:t>
            </w:r>
          </w:p>
        </w:tc>
      </w:tr>
      <w:tr>
        <w:trPr>
          <w:cantSplit w:val="0"/>
          <w:tblHeader w:val="0"/>
        </w:trPr>
        <w:tc>
          <w:tcPr>
            <w:gridSpan w:val="5"/>
          </w:tcPr>
          <w:p w:rsidR="00000000" w:rsidDel="00000000" w:rsidP="00000000" w:rsidRDefault="00000000" w:rsidRPr="00000000" w14:paraId="0000006D">
            <w:pPr>
              <w:pStyle w:val="Heading1"/>
              <w:rPr>
                <w:i w:val="1"/>
                <w:sz w:val="22"/>
                <w:szCs w:val="22"/>
              </w:rPr>
            </w:pPr>
            <w:r w:rsidDel="00000000" w:rsidR="00000000" w:rsidRPr="00000000">
              <w:rPr>
                <w:sz w:val="24"/>
                <w:szCs w:val="24"/>
                <w:rtl w:val="0"/>
              </w:rPr>
              <w:t xml:space="preserve">Overall Comments</w:t>
            </w:r>
            <w:r w:rsidDel="00000000" w:rsidR="00000000" w:rsidRPr="00000000">
              <w:rPr>
                <w:rtl w:val="0"/>
              </w:rPr>
            </w:r>
          </w:p>
        </w:tc>
      </w:tr>
      <w:tr>
        <w:trPr>
          <w:cantSplit w:val="0"/>
          <w:tblHeader w:val="0"/>
        </w:trPr>
        <w:tc>
          <w:tcPr>
            <w:gridSpan w:val="5"/>
          </w:tcPr>
          <w:p w:rsidR="00000000" w:rsidDel="00000000" w:rsidP="00000000" w:rsidRDefault="00000000" w:rsidRPr="00000000" w14:paraId="00000072">
            <w:pPr>
              <w:pStyle w:val="Heading1"/>
              <w:numPr>
                <w:ilvl w:val="0"/>
                <w:numId w:val="1"/>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Storage / display of images worked as expected.</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GSPS is properly applied for markups and annotations, However for the grayscale, images are too bright. We’d like to discuss encoding of the Softcopy VOI LUT sequence in the GSPS object.</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sectPr>
      <w:headerReference r:id="rId12" w:type="default"/>
      <w:footerReference r:id="rId13" w:type="default"/>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1"/>
        <w:smallCaps w:val="0"/>
        <w:strike w:val="0"/>
        <w:color w:val="a6a6a6"/>
        <w:sz w:val="24"/>
        <w:szCs w:val="24"/>
        <w:u w:val="none"/>
        <w:shd w:fill="auto" w:val="clear"/>
        <w:vertAlign w:val="baseline"/>
      </w:rPr>
    </w:pPr>
    <w:r w:rsidDel="00000000" w:rsidR="00000000" w:rsidRPr="00000000">
      <w:rPr>
        <w:rFonts w:ascii="Calibri" w:cs="Calibri" w:eastAsia="Calibri" w:hAnsi="Calibri"/>
        <w:b w:val="0"/>
        <w:i w:val="1"/>
        <w:smallCaps w:val="0"/>
        <w:strike w:val="0"/>
        <w:color w:val="a6a6a6"/>
        <w:sz w:val="24"/>
        <w:szCs w:val="24"/>
        <w:u w:val="none"/>
        <w:shd w:fill="auto" w:val="clear"/>
        <w:vertAlign w:val="baseline"/>
        <w:rtl w:val="0"/>
      </w:rPr>
      <w:t xml:space="preserve">Example of SHARAZONE Test report based on the SHARAZONE Test suite /Report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 w:default="1">
    <w:name w:val="Normal"/>
    <w:qFormat w:val="1"/>
    <w:rsid w:val="00C953DB"/>
  </w:style>
  <w:style w:type="paragraph" w:styleId="Titre1">
    <w:name w:val="heading 1"/>
    <w:basedOn w:val="Normal"/>
    <w:next w:val="Normal"/>
    <w:link w:val="Titre1Car"/>
    <w:uiPriority w:val="9"/>
    <w:qFormat w:val="1"/>
    <w:rsid w:val="00C953DB"/>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itre2">
    <w:name w:val="heading 2"/>
    <w:basedOn w:val="Normal"/>
    <w:next w:val="Normal"/>
    <w:link w:val="Titre2Car"/>
    <w:uiPriority w:val="9"/>
    <w:unhideWhenUsed w:val="1"/>
    <w:qFormat w:val="1"/>
    <w:rsid w:val="00B34361"/>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B34361"/>
    <w:pPr>
      <w:contextualSpacing w:val="1"/>
    </w:pPr>
    <w:rPr>
      <w:rFonts w:asciiTheme="majorHAnsi" w:cstheme="majorBidi" w:eastAsiaTheme="majorEastAsia" w:hAnsiTheme="majorHAnsi"/>
      <w:spacing w:val="-10"/>
      <w:kern w:val="28"/>
      <w:sz w:val="56"/>
      <w:szCs w:val="56"/>
    </w:rPr>
  </w:style>
  <w:style w:type="character" w:styleId="Titre1Car" w:customStyle="1">
    <w:name w:val="Titre 1 Car"/>
    <w:basedOn w:val="Policepardfaut"/>
    <w:link w:val="Titre1"/>
    <w:uiPriority w:val="9"/>
    <w:rsid w:val="00C953DB"/>
    <w:rPr>
      <w:rFonts w:asciiTheme="majorHAnsi" w:cstheme="majorBidi" w:eastAsiaTheme="majorEastAsia" w:hAnsiTheme="majorHAnsi"/>
      <w:color w:val="365f91" w:themeColor="accent1" w:themeShade="0000BF"/>
      <w:sz w:val="32"/>
      <w:szCs w:val="32"/>
      <w:lang w:val="en-US"/>
    </w:rPr>
  </w:style>
  <w:style w:type="paragraph" w:styleId="Paragraphedeliste">
    <w:name w:val="List Paragraph"/>
    <w:basedOn w:val="Normal"/>
    <w:link w:val="ParagraphedelisteCar"/>
    <w:uiPriority w:val="34"/>
    <w:qFormat w:val="1"/>
    <w:rsid w:val="00C953DB"/>
    <w:pPr>
      <w:ind w:left="720"/>
      <w:contextualSpacing w:val="1"/>
    </w:pPr>
  </w:style>
  <w:style w:type="table" w:styleId="Grilledutableau">
    <w:name w:val="Table Grid"/>
    <w:basedOn w:val="TableauNormal"/>
    <w:uiPriority w:val="39"/>
    <w:rsid w:val="00C953DB"/>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reCar" w:customStyle="1">
    <w:name w:val="Titre Car"/>
    <w:basedOn w:val="Policepardfaut"/>
    <w:link w:val="Titre"/>
    <w:uiPriority w:val="10"/>
    <w:rsid w:val="00B34361"/>
    <w:rPr>
      <w:rFonts w:asciiTheme="majorHAnsi" w:cstheme="majorBidi" w:eastAsiaTheme="majorEastAsia" w:hAnsiTheme="majorHAnsi"/>
      <w:spacing w:val="-10"/>
      <w:kern w:val="28"/>
      <w:sz w:val="56"/>
      <w:szCs w:val="56"/>
      <w:lang w:val="en-US"/>
    </w:rPr>
  </w:style>
  <w:style w:type="character" w:styleId="Titre2Car" w:customStyle="1">
    <w:name w:val="Titre 2 Car"/>
    <w:basedOn w:val="Policepardfaut"/>
    <w:link w:val="Titre2"/>
    <w:uiPriority w:val="9"/>
    <w:rsid w:val="00B34361"/>
    <w:rPr>
      <w:rFonts w:asciiTheme="majorHAnsi" w:cstheme="majorBidi" w:eastAsiaTheme="majorEastAsia" w:hAnsiTheme="majorHAnsi"/>
      <w:color w:val="365f91" w:themeColor="accent1" w:themeShade="0000BF"/>
      <w:sz w:val="26"/>
      <w:szCs w:val="26"/>
      <w:lang w:val="en-US"/>
    </w:rPr>
  </w:style>
  <w:style w:type="table" w:styleId="TableauListe3-Accentuation1">
    <w:name w:val="List Table 3 Accent 1"/>
    <w:basedOn w:val="TableauNormal"/>
    <w:uiPriority w:val="48"/>
    <w:rsid w:val="00F05AA8"/>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bCs w:val="1"/>
        <w:color w:val="ffffff" w:themeColor="background1"/>
      </w:rPr>
      <w:tblPr/>
      <w:tcPr>
        <w:shd w:color="auto" w:fill="4f81bd" w:themeFill="accent1" w:val="clear"/>
      </w:tcPr>
    </w:tblStylePr>
    <w:tblStylePr w:type="lastRow">
      <w:rPr>
        <w:b w:val="1"/>
        <w:bCs w:val="1"/>
      </w:rPr>
      <w:tblPr/>
      <w:tcPr>
        <w:tcBorders>
          <w:top w:color="4f81bd"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f81bd" w:space="0" w:sz="4" w:themeColor="accent1" w:val="single"/>
          <w:right w:color="4f81bd" w:space="0" w:sz="4" w:themeColor="accent1" w:val="single"/>
        </w:tcBorders>
      </w:tcPr>
    </w:tblStylePr>
    <w:tblStylePr w:type="band1Horz">
      <w:tblPr/>
      <w:tcPr>
        <w:tcBorders>
          <w:top w:color="4f81bd" w:space="0" w:sz="4" w:themeColor="accent1" w:val="single"/>
          <w:bottom w:color="4f81bd"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themeColor="accent1" w:val="double"/>
          <w:left w:space="0" w:sz="0" w:val="nil"/>
        </w:tcBorders>
      </w:tcPr>
    </w:tblStylePr>
    <w:tblStylePr w:type="swCell">
      <w:tblPr/>
      <w:tcPr>
        <w:tcBorders>
          <w:top w:color="4f81bd" w:space="0" w:sz="4" w:themeColor="accent1" w:val="double"/>
          <w:right w:space="0" w:sz="0" w:val="nil"/>
        </w:tcBorders>
      </w:tcPr>
    </w:tblStyle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tblStylePr w:type="firstRow">
      <w:rPr>
        <w:b w:val="1"/>
        <w:color w:val="ffffff"/>
      </w:rPr>
      <w:tblPr/>
      <w:tcPr>
        <w:shd w:color="auto" w:fill="4f81bd" w:val="clear"/>
      </w:tcPr>
    </w:tblStylePr>
    <w:tblStylePr w:type="lastRow">
      <w:rPr>
        <w:b w:val="1"/>
      </w:rPr>
      <w:tblPr/>
      <w:tcPr>
        <w:tcBorders>
          <w:top w:color="4f81bd"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4f81bd" w:space="0" w:sz="4" w:val="single"/>
          <w:right w:color="4f81bd" w:space="0" w:sz="4" w:val="single"/>
        </w:tcBorders>
      </w:tcPr>
    </w:tblStylePr>
    <w:tblStylePr w:type="band1Horz">
      <w:tblPr/>
      <w:tcPr>
        <w:tcBorders>
          <w:top w:color="4f81bd" w:space="0" w:sz="4" w:val="single"/>
          <w:bottom w:color="4f81bd"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val="single"/>
          <w:left w:space="0" w:sz="0" w:val="nil"/>
        </w:tcBorders>
      </w:tcPr>
    </w:tblStylePr>
    <w:tblStylePr w:type="swCell">
      <w:tblPr/>
      <w:tcPr>
        <w:tcBorders>
          <w:top w:color="4f81bd" w:space="0" w:sz="4" w:val="single"/>
          <w:right w:space="0" w:sz="0" w:val="nil"/>
        </w:tcBorders>
      </w:tcPr>
    </w:tblStylePr>
  </w:style>
  <w:style w:type="table" w:styleId="a0" w:customStyle="1">
    <w:basedOn w:val="TableNormal"/>
    <w:tblPr>
      <w:tblStyleRowBandSize w:val="1"/>
      <w:tblStyleColBandSize w:val="1"/>
      <w:tblCellMar>
        <w:left w:w="108.0" w:type="dxa"/>
        <w:right w:w="108.0" w:type="dxa"/>
      </w:tblCellMar>
    </w:tblPr>
  </w:style>
  <w:style w:type="paragraph" w:styleId="Textedebulles">
    <w:name w:val="Balloon Text"/>
    <w:basedOn w:val="Normal"/>
    <w:link w:val="TextedebullesCar"/>
    <w:uiPriority w:val="99"/>
    <w:semiHidden w:val="1"/>
    <w:unhideWhenUsed w:val="1"/>
    <w:rsid w:val="00C618C1"/>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C618C1"/>
    <w:rPr>
      <w:rFonts w:ascii="Segoe UI" w:cs="Segoe UI" w:hAnsi="Segoe UI"/>
      <w:sz w:val="18"/>
      <w:szCs w:val="18"/>
    </w:rPr>
  </w:style>
  <w:style w:type="character" w:styleId="ParagraphedelisteCar" w:customStyle="1">
    <w:name w:val="Paragraphe de liste Car"/>
    <w:link w:val="Paragraphedeliste"/>
    <w:uiPriority w:val="34"/>
    <w:rsid w:val="00C618C1"/>
  </w:style>
  <w:style w:type="paragraph" w:styleId="En-tte">
    <w:name w:val="header"/>
    <w:basedOn w:val="Normal"/>
    <w:link w:val="En-tteCar"/>
    <w:uiPriority w:val="99"/>
    <w:unhideWhenUsed w:val="1"/>
    <w:rsid w:val="00841455"/>
    <w:pPr>
      <w:tabs>
        <w:tab w:val="center" w:pos="4536"/>
        <w:tab w:val="right" w:pos="9072"/>
      </w:tabs>
    </w:pPr>
  </w:style>
  <w:style w:type="character" w:styleId="En-tteCar" w:customStyle="1">
    <w:name w:val="En-tête Car"/>
    <w:basedOn w:val="Policepardfaut"/>
    <w:link w:val="En-tte"/>
    <w:uiPriority w:val="99"/>
    <w:rsid w:val="00841455"/>
  </w:style>
  <w:style w:type="paragraph" w:styleId="Pieddepage">
    <w:name w:val="footer"/>
    <w:basedOn w:val="Normal"/>
    <w:link w:val="PieddepageCar"/>
    <w:uiPriority w:val="99"/>
    <w:unhideWhenUsed w:val="1"/>
    <w:rsid w:val="00841455"/>
    <w:pPr>
      <w:tabs>
        <w:tab w:val="center" w:pos="4536"/>
        <w:tab w:val="right" w:pos="9072"/>
      </w:tabs>
    </w:pPr>
  </w:style>
  <w:style w:type="character" w:styleId="PieddepageCar" w:customStyle="1">
    <w:name w:val="Pied de page Car"/>
    <w:basedOn w:val="Policepardfaut"/>
    <w:link w:val="Pieddepage"/>
    <w:uiPriority w:val="99"/>
    <w:rsid w:val="00841455"/>
  </w:style>
  <w:style w:type="character" w:styleId="Lienhypertexte">
    <w:name w:val="Hyperlink"/>
    <w:basedOn w:val="Policepardfaut"/>
    <w:uiPriority w:val="99"/>
    <w:unhideWhenUsed w:val="1"/>
    <w:rsid w:val="00116A09"/>
    <w:rPr>
      <w:color w:val="0000ff" w:themeColor="hyperlink"/>
      <w:u w:val="single"/>
    </w:rPr>
  </w:style>
  <w:style w:type="character" w:styleId="Mentionnonrsolue">
    <w:name w:val="Unresolved Mention"/>
    <w:basedOn w:val="Policepardfaut"/>
    <w:uiPriority w:val="99"/>
    <w:semiHidden w:val="1"/>
    <w:unhideWhenUsed w:val="1"/>
    <w:rsid w:val="00116A09"/>
    <w:rPr>
      <w:color w:val="605e5c"/>
      <w:shd w:color="auto" w:fill="e1dfdd" w:val="clear"/>
    </w:rPr>
  </w:style>
  <w:style w:type="character" w:styleId="Lienhypertextesuivivisit">
    <w:name w:val="FollowedHyperlink"/>
    <w:basedOn w:val="Policepardfaut"/>
    <w:uiPriority w:val="99"/>
    <w:semiHidden w:val="1"/>
    <w:unhideWhenUsed w:val="1"/>
    <w:rsid w:val="00116A0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rPr>
        <w:b w:val="1"/>
      </w:rPr>
      <w:tcPr>
        <w:shd w:fill="ffffff" w:val="clear"/>
      </w:tcPr>
    </w:tblStylePr>
    <w:tblStylePr w:type="firstRow">
      <w:rPr>
        <w:b w:val="1"/>
        <w:color w:val="ffffff"/>
      </w:rPr>
      <w:tcPr>
        <w:shd w:fill="4f81bd" w:val="clear"/>
      </w:tcPr>
    </w:tblStylePr>
    <w:tblStylePr w:type="lastCol">
      <w:rPr>
        <w:b w:val="1"/>
      </w:rPr>
      <w:tcPr>
        <w:shd w:fill="ffffff" w:val="clear"/>
      </w:tcPr>
    </w:tblStylePr>
    <w:tblStylePr w:type="lastRow">
      <w:rPr>
        <w:b w:val="1"/>
      </w:rPr>
      <w:tcPr>
        <w:shd w:fill="ffffff" w:val="clear"/>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cBorders>
          <w:top w:color="4f81bd" w:space="0" w:sz="4" w:val="single"/>
          <w:bottom w:color="4f81bd" w:space="0" w:sz="4" w:val="single"/>
          <w:insideH w:color="000000" w:space="0" w:sz="0" w:val="nil"/>
        </w:tcBorders>
      </w:tcPr>
    </w:tblStylePr>
    <w:tblStylePr w:type="band1Vert">
      <w:tcPr>
        <w:tcBorders>
          <w:left w:color="4f81bd" w:space="0" w:sz="4" w:val="single"/>
          <w:right w:color="4f81bd"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f81bd" w:val="clear"/>
      </w:tcPr>
    </w:tblStylePr>
    <w:tblStylePr w:type="lastCol">
      <w:rPr>
        <w:b w:val="1"/>
      </w:rPr>
      <w:tcPr>
        <w:tcBorders>
          <w:left w:color="000000" w:space="0" w:sz="0" w:val="nil"/>
        </w:tcBorders>
        <w:shd w:fill="ffffff" w:val="clear"/>
      </w:tcPr>
    </w:tblStylePr>
    <w:tblStylePr w:type="lastRow">
      <w:rPr>
        <w:b w:val="1"/>
      </w:rPr>
      <w:tcPr>
        <w:tcBorders>
          <w:top w:color="4f81bd"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f81bd" w:space="0" w:sz="4" w:val="single"/>
          <w:left w:color="000000" w:space="0" w:sz="0" w:val="nil"/>
        </w:tcBorders>
      </w:tcPr>
    </w:tblStylePr>
    <w:tblStylePr w:type="swCell">
      <w:tcPr>
        <w:tcBorders>
          <w:top w:color="4f81bd" w:space="0" w:sz="4" w:val="single"/>
          <w:right w:color="000000" w:space="0" w:sz="0" w:val="nil"/>
        </w:tcBorders>
      </w:tcPr>
    </w:tblStyle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harazone.ihe-europe.net/gazelle/testing/test/test/TestInstance.seam?id=8&amp;cid=33267" TargetMode="External"/><Relationship Id="rId8" Type="http://schemas.openxmlformats.org/officeDocument/2006/relationships/hyperlink" Target="https://sharazone.ihe-europe.net/gazelle/objects/sample.seam?id=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BNaphLE5L+gJTPfBZpVkKKUQ==">AMUW2mWFT6XZUtXDV9ZXP3fkv3wRX0NYWtnjIuEJ7pP8mLhYZamNsxhHdijQb7Pztt1bY+Z3PS8DLqkCgQRBY55LpXw86AGdkFBjBlfobLk5VZ/FCR/cAG/WPyC65w4uhu0O9vBndrfYoscsrKGnsfYCKyi9ZA0Nuw==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2021-10-05T13:14:00Z</dcterms:created>
  <dc:creator>Anne-Gaëlle BERGE</dc:creator>
</cp:coreProperties>
</file>